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D34" w14:textId="5EDDD174" w:rsidR="00820741" w:rsidRPr="007764C7" w:rsidRDefault="00E019DD" w:rsidP="00E019D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764C7">
        <w:rPr>
          <w:rFonts w:ascii="Arial" w:hAnsi="Arial" w:cs="Arial"/>
          <w:b/>
          <w:bCs/>
          <w:sz w:val="32"/>
          <w:szCs w:val="32"/>
          <w:u w:val="single"/>
        </w:rPr>
        <w:t>Jährlicher Aufwand für Freiwillige im FSJ 2023/2024</w:t>
      </w:r>
    </w:p>
    <w:p w14:paraId="3F0B9EF5" w14:textId="77777777" w:rsidR="00EB6D35" w:rsidRPr="00832D0E" w:rsidRDefault="00D9088E" w:rsidP="003E22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D0E">
        <w:rPr>
          <w:rFonts w:ascii="Arial" w:hAnsi="Arial" w:cs="Arial"/>
          <w:b/>
          <w:bCs/>
          <w:sz w:val="24"/>
          <w:szCs w:val="24"/>
        </w:rPr>
        <w:t>Für den Einsatz einer</w:t>
      </w:r>
      <w:r w:rsidR="008959CB" w:rsidRPr="00832D0E">
        <w:rPr>
          <w:rFonts w:ascii="Arial" w:hAnsi="Arial" w:cs="Arial"/>
          <w:b/>
          <w:bCs/>
          <w:sz w:val="24"/>
          <w:szCs w:val="24"/>
        </w:rPr>
        <w:t>:</w:t>
      </w:r>
      <w:r w:rsidRPr="00832D0E">
        <w:rPr>
          <w:rFonts w:ascii="Arial" w:hAnsi="Arial" w:cs="Arial"/>
          <w:b/>
          <w:bCs/>
          <w:sz w:val="24"/>
          <w:szCs w:val="24"/>
        </w:rPr>
        <w:t>s Freiwil</w:t>
      </w:r>
      <w:r w:rsidR="008900D9" w:rsidRPr="00832D0E">
        <w:rPr>
          <w:rFonts w:ascii="Arial" w:hAnsi="Arial" w:cs="Arial"/>
          <w:b/>
          <w:bCs/>
          <w:sz w:val="24"/>
          <w:szCs w:val="24"/>
        </w:rPr>
        <w:t xml:space="preserve">ligen im Freiweilligen Sozialen Jahr (FSJ) </w:t>
      </w:r>
    </w:p>
    <w:p w14:paraId="7373427C" w14:textId="523B1118" w:rsidR="00A27970" w:rsidRPr="00832D0E" w:rsidRDefault="008900D9" w:rsidP="003E22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D0E">
        <w:rPr>
          <w:rFonts w:ascii="Arial" w:hAnsi="Arial" w:cs="Arial"/>
          <w:b/>
          <w:bCs/>
          <w:sz w:val="24"/>
          <w:szCs w:val="24"/>
        </w:rPr>
        <w:t>beim Träger Kreisjugendring Miesbach</w:t>
      </w:r>
    </w:p>
    <w:p w14:paraId="0DFAE719" w14:textId="77777777" w:rsidR="00B03E25" w:rsidRPr="00832D0E" w:rsidRDefault="00B03E25" w:rsidP="003E22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807260" w14:textId="1BD1698C" w:rsidR="00B03E25" w:rsidRDefault="00C401AD" w:rsidP="00C40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Betreuung von Freiweilligen im FSJ fallen </w:t>
      </w:r>
      <w:r w:rsidR="00EF39C0">
        <w:rPr>
          <w:rFonts w:ascii="Arial" w:hAnsi="Arial" w:cs="Arial"/>
        </w:rPr>
        <w:t>voraussichtlich</w:t>
      </w:r>
      <w:r>
        <w:rPr>
          <w:rFonts w:ascii="Arial" w:hAnsi="Arial" w:cs="Arial"/>
        </w:rPr>
        <w:t xml:space="preserve"> folgende Kosten an: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091"/>
        <w:gridCol w:w="1630"/>
        <w:gridCol w:w="1630"/>
      </w:tblGrid>
      <w:tr w:rsidR="00292BEB" w14:paraId="2709BD49" w14:textId="77777777" w:rsidTr="0080454D">
        <w:tc>
          <w:tcPr>
            <w:tcW w:w="9351" w:type="dxa"/>
            <w:gridSpan w:val="3"/>
          </w:tcPr>
          <w:p w14:paraId="595EDB23" w14:textId="5CEAEFF7" w:rsidR="00292BEB" w:rsidRPr="003A5AC7" w:rsidRDefault="00480313" w:rsidP="00480313">
            <w:pPr>
              <w:rPr>
                <w:rFonts w:ascii="Arial" w:hAnsi="Arial" w:cs="Arial"/>
                <w:b/>
                <w:bCs/>
              </w:rPr>
            </w:pPr>
            <w:r w:rsidRPr="003A5AC7">
              <w:rPr>
                <w:rFonts w:ascii="Arial" w:hAnsi="Arial" w:cs="Arial"/>
                <w:b/>
                <w:bCs/>
              </w:rPr>
              <w:t xml:space="preserve">I) </w:t>
            </w:r>
            <w:r w:rsidR="00292BEB" w:rsidRPr="003A5AC7">
              <w:rPr>
                <w:rFonts w:ascii="Arial" w:hAnsi="Arial" w:cs="Arial"/>
                <w:b/>
                <w:bCs/>
              </w:rPr>
              <w:t>Kosten für die:den Freiwillige:en</w:t>
            </w:r>
          </w:p>
        </w:tc>
      </w:tr>
      <w:tr w:rsidR="003B5AF1" w14:paraId="6C9434A2" w14:textId="77777777" w:rsidTr="000C67E2">
        <w:tc>
          <w:tcPr>
            <w:tcW w:w="6091" w:type="dxa"/>
          </w:tcPr>
          <w:p w14:paraId="3BAF5EC1" w14:textId="77777777" w:rsidR="003B5AF1" w:rsidRDefault="003B5AF1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1D2E5A8" w14:textId="451EC467" w:rsidR="003B5AF1" w:rsidRDefault="00A17648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Monatlich:</w:t>
            </w:r>
          </w:p>
        </w:tc>
        <w:tc>
          <w:tcPr>
            <w:tcW w:w="1630" w:type="dxa"/>
          </w:tcPr>
          <w:p w14:paraId="22C14C2E" w14:textId="52B5AD81" w:rsidR="003B5AF1" w:rsidRDefault="00A17648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Jährlich</w:t>
            </w:r>
          </w:p>
        </w:tc>
      </w:tr>
      <w:tr w:rsidR="003B5AF1" w14:paraId="2C174640" w14:textId="77777777" w:rsidTr="000C67E2">
        <w:tc>
          <w:tcPr>
            <w:tcW w:w="6091" w:type="dxa"/>
          </w:tcPr>
          <w:p w14:paraId="0CB42656" w14:textId="7356FAB4" w:rsidR="003B5AF1" w:rsidRPr="00F63BE3" w:rsidRDefault="00A17648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Taschengeld</w:t>
            </w:r>
            <w:r w:rsidR="001F54BA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1630" w:type="dxa"/>
          </w:tcPr>
          <w:p w14:paraId="762F71E7" w14:textId="526EB4F9" w:rsidR="003B5AF1" w:rsidRDefault="00CF1AA9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35A5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1531A1C2" w14:textId="7BE4B981" w:rsidR="003B5AF1" w:rsidRDefault="000F6BCC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B20AA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0,-€</w:t>
            </w:r>
          </w:p>
        </w:tc>
      </w:tr>
      <w:tr w:rsidR="003B5AF1" w14:paraId="57672823" w14:textId="77777777" w:rsidTr="000C67E2">
        <w:tc>
          <w:tcPr>
            <w:tcW w:w="6091" w:type="dxa"/>
          </w:tcPr>
          <w:p w14:paraId="13EED6A0" w14:textId="69F74E4F" w:rsidR="003B5AF1" w:rsidRDefault="001F54BA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Pauschale für </w:t>
            </w:r>
            <w:r w:rsidR="00596BDF">
              <w:rPr>
                <w:rFonts w:ascii="Arial" w:hAnsi="Arial" w:cs="Arial"/>
              </w:rPr>
              <w:t>Verpflegung</w:t>
            </w:r>
            <w:r>
              <w:rPr>
                <w:rFonts w:ascii="Arial" w:hAnsi="Arial" w:cs="Arial"/>
              </w:rPr>
              <w:t xml:space="preserve"> und U</w:t>
            </w:r>
            <w:r w:rsidR="00D8602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terkunft</w:t>
            </w:r>
          </w:p>
        </w:tc>
        <w:tc>
          <w:tcPr>
            <w:tcW w:w="1630" w:type="dxa"/>
          </w:tcPr>
          <w:p w14:paraId="4CAC75A4" w14:textId="36BB9E4C" w:rsidR="003B5AF1" w:rsidRDefault="00BF520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0F29F34A" w14:textId="778FD4DA" w:rsidR="003B5AF1" w:rsidRDefault="00FA70E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1.200,-€</w:t>
            </w:r>
          </w:p>
        </w:tc>
      </w:tr>
      <w:tr w:rsidR="003B5AF1" w14:paraId="4BF53EFB" w14:textId="77777777" w:rsidTr="000C67E2">
        <w:tc>
          <w:tcPr>
            <w:tcW w:w="6091" w:type="dxa"/>
          </w:tcPr>
          <w:p w14:paraId="2B7BA0C8" w14:textId="08E2517B" w:rsidR="003B5AF1" w:rsidRDefault="00D86022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Sozialversicherungsabgaben (AG+AN-Anteile)</w:t>
            </w:r>
            <w:r w:rsidR="00626A12">
              <w:rPr>
                <w:rStyle w:val="Funotenzeichen"/>
                <w:rFonts w:ascii="Arial" w:hAnsi="Arial" w:cs="Arial"/>
              </w:rPr>
              <w:footnoteReference w:id="3"/>
            </w:r>
          </w:p>
        </w:tc>
        <w:tc>
          <w:tcPr>
            <w:tcW w:w="1630" w:type="dxa"/>
          </w:tcPr>
          <w:p w14:paraId="40D3D8DF" w14:textId="3E5C90E3" w:rsidR="003B5AF1" w:rsidRDefault="00BF520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20AA">
              <w:rPr>
                <w:rFonts w:ascii="Arial" w:hAnsi="Arial" w:cs="Arial"/>
              </w:rPr>
              <w:t>90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1A33B00A" w14:textId="6C3A840F" w:rsidR="003B5AF1" w:rsidRDefault="00FA70E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2B20A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0,-€</w:t>
            </w:r>
          </w:p>
        </w:tc>
      </w:tr>
      <w:tr w:rsidR="003B5AF1" w14:paraId="651C399B" w14:textId="77777777" w:rsidTr="000C67E2">
        <w:tc>
          <w:tcPr>
            <w:tcW w:w="6091" w:type="dxa"/>
          </w:tcPr>
          <w:p w14:paraId="62B73F1F" w14:textId="77777777" w:rsidR="003B5AF1" w:rsidRDefault="003B5AF1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AFD6F97" w14:textId="77777777" w:rsidR="003B5AF1" w:rsidRDefault="003B5AF1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7AEB9D6" w14:textId="77777777" w:rsidR="003B5AF1" w:rsidRDefault="003B5AF1" w:rsidP="00C401AD">
            <w:pPr>
              <w:rPr>
                <w:rFonts w:ascii="Arial" w:hAnsi="Arial" w:cs="Arial"/>
              </w:rPr>
            </w:pPr>
          </w:p>
        </w:tc>
      </w:tr>
      <w:tr w:rsidR="0025766A" w14:paraId="3B1FC985" w14:textId="77777777" w:rsidTr="0080454D">
        <w:tc>
          <w:tcPr>
            <w:tcW w:w="9351" w:type="dxa"/>
            <w:gridSpan w:val="3"/>
          </w:tcPr>
          <w:p w14:paraId="01086BE4" w14:textId="1EEB4275" w:rsidR="0025766A" w:rsidRPr="003A5AC7" w:rsidRDefault="00480313" w:rsidP="00480313">
            <w:pPr>
              <w:rPr>
                <w:rFonts w:ascii="Arial" w:hAnsi="Arial" w:cs="Arial"/>
                <w:b/>
                <w:bCs/>
              </w:rPr>
            </w:pPr>
            <w:r w:rsidRPr="003A5AC7">
              <w:rPr>
                <w:rFonts w:ascii="Arial" w:hAnsi="Arial" w:cs="Arial"/>
                <w:b/>
                <w:bCs/>
              </w:rPr>
              <w:t xml:space="preserve">II) </w:t>
            </w:r>
            <w:r w:rsidR="006722DD" w:rsidRPr="003A5AC7">
              <w:rPr>
                <w:rFonts w:ascii="Arial" w:hAnsi="Arial" w:cs="Arial"/>
                <w:b/>
                <w:bCs/>
              </w:rPr>
              <w:t>Aufwand der pädagogischen Begleitung und der Personalverwaltung beim Träger</w:t>
            </w:r>
          </w:p>
        </w:tc>
      </w:tr>
      <w:tr w:rsidR="00626A12" w14:paraId="05339954" w14:textId="77777777" w:rsidTr="000C67E2">
        <w:tc>
          <w:tcPr>
            <w:tcW w:w="6091" w:type="dxa"/>
          </w:tcPr>
          <w:p w14:paraId="0247FBB7" w14:textId="3EA80435" w:rsidR="00626A12" w:rsidRDefault="005F7195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der Personalverwaltung beim Träger</w:t>
            </w:r>
          </w:p>
        </w:tc>
        <w:tc>
          <w:tcPr>
            <w:tcW w:w="1630" w:type="dxa"/>
          </w:tcPr>
          <w:p w14:paraId="1E905720" w14:textId="32B47F8B" w:rsidR="00626A12" w:rsidRDefault="00BF520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226B3095" w14:textId="6ADC78E1" w:rsidR="00626A12" w:rsidRDefault="00FA70E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1.188,-€</w:t>
            </w:r>
          </w:p>
        </w:tc>
      </w:tr>
      <w:tr w:rsidR="00626A12" w14:paraId="6D6AFFBA" w14:textId="77777777" w:rsidTr="000C67E2">
        <w:tc>
          <w:tcPr>
            <w:tcW w:w="6091" w:type="dxa"/>
          </w:tcPr>
          <w:p w14:paraId="0164F645" w14:textId="161FCBAF" w:rsidR="00626A12" w:rsidRDefault="005F7195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 päd. Betreuung pauschal</w:t>
            </w:r>
          </w:p>
        </w:tc>
        <w:tc>
          <w:tcPr>
            <w:tcW w:w="1630" w:type="dxa"/>
          </w:tcPr>
          <w:p w14:paraId="19486399" w14:textId="49AFF5E3" w:rsidR="00626A12" w:rsidRDefault="00BF520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0921B6B5" w14:textId="3C82AAE7" w:rsidR="00626A12" w:rsidRDefault="0028180B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3.060,-€</w:t>
            </w:r>
          </w:p>
        </w:tc>
      </w:tr>
      <w:tr w:rsidR="00626A12" w14:paraId="50A43920" w14:textId="77777777" w:rsidTr="000C67E2">
        <w:tc>
          <w:tcPr>
            <w:tcW w:w="6091" w:type="dxa"/>
          </w:tcPr>
          <w:p w14:paraId="5994812C" w14:textId="13283AF8" w:rsidR="00626A12" w:rsidRDefault="005F7195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E0D37">
              <w:rPr>
                <w:rFonts w:ascii="Arial" w:hAnsi="Arial" w:cs="Arial"/>
              </w:rPr>
              <w:t>x Seminar (</w:t>
            </w:r>
            <w:r w:rsidR="00480313">
              <w:rPr>
                <w:rFonts w:ascii="Arial" w:hAnsi="Arial" w:cs="Arial"/>
              </w:rPr>
              <w:t>insgesamt</w:t>
            </w:r>
            <w:r w:rsidR="007E0D37">
              <w:rPr>
                <w:rFonts w:ascii="Arial" w:hAnsi="Arial" w:cs="Arial"/>
              </w:rPr>
              <w:t xml:space="preserve"> min. 25 Tage ã 50,40€</w:t>
            </w:r>
          </w:p>
        </w:tc>
        <w:tc>
          <w:tcPr>
            <w:tcW w:w="1630" w:type="dxa"/>
          </w:tcPr>
          <w:p w14:paraId="312C562C" w14:textId="7E18A522" w:rsidR="00626A12" w:rsidRDefault="00BF520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0CF290A8" w14:textId="64E2AA6E" w:rsidR="00626A12" w:rsidRDefault="0028180B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1.260,-€</w:t>
            </w:r>
          </w:p>
        </w:tc>
      </w:tr>
      <w:tr w:rsidR="00626A12" w14:paraId="2F58BA13" w14:textId="77777777" w:rsidTr="000C67E2">
        <w:tc>
          <w:tcPr>
            <w:tcW w:w="6091" w:type="dxa"/>
          </w:tcPr>
          <w:p w14:paraId="3970EE2E" w14:textId="65A75897" w:rsidR="00626A12" w:rsidRDefault="00E743C6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E60C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nde</w:t>
            </w:r>
            <w:r w:rsidR="007E60C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tutoriat</w:t>
            </w:r>
          </w:p>
        </w:tc>
        <w:tc>
          <w:tcPr>
            <w:tcW w:w="1630" w:type="dxa"/>
          </w:tcPr>
          <w:p w14:paraId="3C6E2890" w14:textId="41C98A5C" w:rsidR="00626A12" w:rsidRDefault="00F03049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9453C">
              <w:rPr>
                <w:rFonts w:ascii="Arial" w:hAnsi="Arial" w:cs="Arial"/>
              </w:rPr>
              <w:t>,-</w:t>
            </w:r>
            <w:r w:rsidR="00BF5204"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6916EB96" w14:textId="14529FA5" w:rsidR="00626A12" w:rsidRDefault="00F03049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28180B">
              <w:rPr>
                <w:rFonts w:ascii="Arial" w:hAnsi="Arial" w:cs="Arial"/>
              </w:rPr>
              <w:t>,-€</w:t>
            </w:r>
          </w:p>
        </w:tc>
      </w:tr>
      <w:tr w:rsidR="00E743C6" w14:paraId="1EC05A7A" w14:textId="77777777" w:rsidTr="000C67E2">
        <w:tc>
          <w:tcPr>
            <w:tcW w:w="6091" w:type="dxa"/>
          </w:tcPr>
          <w:p w14:paraId="741964DC" w14:textId="77777777" w:rsidR="00E743C6" w:rsidRDefault="00E743C6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D3F4A41" w14:textId="77777777" w:rsidR="00E743C6" w:rsidRDefault="00E743C6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0105CAE" w14:textId="77777777" w:rsidR="00E743C6" w:rsidRDefault="00E743C6" w:rsidP="00C401AD">
            <w:pPr>
              <w:rPr>
                <w:rFonts w:ascii="Arial" w:hAnsi="Arial" w:cs="Arial"/>
              </w:rPr>
            </w:pPr>
          </w:p>
        </w:tc>
      </w:tr>
      <w:tr w:rsidR="00480313" w14:paraId="5F8644FC" w14:textId="77777777" w:rsidTr="0080454D">
        <w:tc>
          <w:tcPr>
            <w:tcW w:w="9351" w:type="dxa"/>
            <w:gridSpan w:val="3"/>
          </w:tcPr>
          <w:p w14:paraId="085FD54B" w14:textId="26EC65B5" w:rsidR="00480313" w:rsidRPr="003A5AC7" w:rsidRDefault="00480313" w:rsidP="00C401AD">
            <w:pPr>
              <w:rPr>
                <w:rFonts w:ascii="Arial" w:hAnsi="Arial" w:cs="Arial"/>
                <w:b/>
                <w:bCs/>
              </w:rPr>
            </w:pPr>
            <w:r w:rsidRPr="003A5AC7">
              <w:rPr>
                <w:rFonts w:ascii="Arial" w:hAnsi="Arial" w:cs="Arial"/>
                <w:b/>
                <w:bCs/>
              </w:rPr>
              <w:t xml:space="preserve">III) Aufwand </w:t>
            </w:r>
            <w:r w:rsidR="006F7BE1" w:rsidRPr="003A5AC7">
              <w:rPr>
                <w:rFonts w:ascii="Arial" w:hAnsi="Arial" w:cs="Arial"/>
                <w:b/>
                <w:bCs/>
              </w:rPr>
              <w:t>für sonstige und nicht förderfähige Kosten</w:t>
            </w:r>
          </w:p>
        </w:tc>
      </w:tr>
      <w:tr w:rsidR="00626A12" w14:paraId="1048E9AA" w14:textId="77777777" w:rsidTr="000C67E2">
        <w:tc>
          <w:tcPr>
            <w:tcW w:w="6091" w:type="dxa"/>
          </w:tcPr>
          <w:p w14:paraId="6135A3B6" w14:textId="1C009400" w:rsidR="00626A12" w:rsidRDefault="00FC4130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Fahrtkosten, IT, Geschäftsbedarf, </w:t>
            </w:r>
            <w:r w:rsidR="00596BDF">
              <w:rPr>
                <w:rFonts w:ascii="Arial" w:hAnsi="Arial" w:cs="Arial"/>
              </w:rPr>
              <w:t>Versicherungen</w:t>
            </w:r>
            <w:r>
              <w:rPr>
                <w:rFonts w:ascii="Arial" w:hAnsi="Arial" w:cs="Arial"/>
              </w:rPr>
              <w:t>, Dienst- und Fachaufsicht, Fortbildung</w:t>
            </w:r>
            <w:r w:rsidR="007F62A5">
              <w:rPr>
                <w:rFonts w:ascii="Arial" w:hAnsi="Arial" w:cs="Arial"/>
              </w:rPr>
              <w:t xml:space="preserve"> pauschal</w:t>
            </w:r>
          </w:p>
        </w:tc>
        <w:tc>
          <w:tcPr>
            <w:tcW w:w="1630" w:type="dxa"/>
          </w:tcPr>
          <w:p w14:paraId="61D676E0" w14:textId="75706F66" w:rsidR="00626A12" w:rsidRDefault="00BF5204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7B9B4F94" w14:textId="48B58452" w:rsidR="00626A12" w:rsidRDefault="00992D62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720,-€</w:t>
            </w:r>
          </w:p>
        </w:tc>
      </w:tr>
      <w:tr w:rsidR="00BD7B63" w14:paraId="1CE5EB48" w14:textId="77777777" w:rsidTr="00CB5F5B">
        <w:tc>
          <w:tcPr>
            <w:tcW w:w="6091" w:type="dxa"/>
            <w:tcBorders>
              <w:bottom w:val="double" w:sz="4" w:space="0" w:color="auto"/>
            </w:tcBorders>
          </w:tcPr>
          <w:p w14:paraId="0D83EF1C" w14:textId="77777777" w:rsidR="00BD7B63" w:rsidRDefault="00BD7B63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14:paraId="1978C4F0" w14:textId="77777777" w:rsidR="00BD7B63" w:rsidRDefault="00BD7B63" w:rsidP="005615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14:paraId="4927F4C4" w14:textId="77777777" w:rsidR="00BD7B63" w:rsidRDefault="00BD7B63" w:rsidP="0056159A">
            <w:pPr>
              <w:jc w:val="right"/>
              <w:rPr>
                <w:rFonts w:ascii="Arial" w:hAnsi="Arial" w:cs="Arial"/>
              </w:rPr>
            </w:pPr>
          </w:p>
        </w:tc>
      </w:tr>
      <w:tr w:rsidR="006F7BE1" w:rsidRPr="002B0FE2" w14:paraId="25AEF927" w14:textId="77777777" w:rsidTr="00CB5F5B"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3347BA" w14:textId="0ED3A271" w:rsidR="006F7BE1" w:rsidRPr="002B0FE2" w:rsidRDefault="00B23331" w:rsidP="00C401AD">
            <w:pPr>
              <w:rPr>
                <w:rFonts w:ascii="Arial" w:hAnsi="Arial" w:cs="Arial"/>
                <w:b/>
                <w:bCs/>
              </w:rPr>
            </w:pPr>
            <w:r w:rsidRPr="002B0FE2">
              <w:rPr>
                <w:rFonts w:ascii="Arial" w:hAnsi="Arial" w:cs="Arial"/>
                <w:b/>
                <w:bCs/>
              </w:rPr>
              <w:t>Gesamtkosten FSJ-Stelle:</w:t>
            </w:r>
          </w:p>
        </w:tc>
        <w:tc>
          <w:tcPr>
            <w:tcW w:w="1630" w:type="dxa"/>
            <w:tcBorders>
              <w:top w:val="double" w:sz="4" w:space="0" w:color="auto"/>
              <w:bottom w:val="double" w:sz="4" w:space="0" w:color="auto"/>
            </w:tcBorders>
          </w:tcPr>
          <w:p w14:paraId="0553902D" w14:textId="23BA9BD0" w:rsidR="006F7BE1" w:rsidRPr="002B0FE2" w:rsidRDefault="009A66B5" w:rsidP="0056159A">
            <w:pPr>
              <w:jc w:val="right"/>
              <w:rPr>
                <w:rFonts w:ascii="Arial" w:hAnsi="Arial" w:cs="Arial"/>
                <w:b/>
                <w:bCs/>
              </w:rPr>
            </w:pPr>
            <w:r w:rsidRPr="002B0FE2">
              <w:rPr>
                <w:rFonts w:ascii="Arial" w:hAnsi="Arial" w:cs="Arial"/>
                <w:b/>
                <w:bCs/>
              </w:rPr>
              <w:t>1.1</w:t>
            </w:r>
            <w:r w:rsidR="00E524F5">
              <w:rPr>
                <w:rFonts w:ascii="Arial" w:hAnsi="Arial" w:cs="Arial"/>
                <w:b/>
                <w:bCs/>
              </w:rPr>
              <w:t>76</w:t>
            </w:r>
            <w:r w:rsidR="00A9453C">
              <w:rPr>
                <w:rFonts w:ascii="Arial" w:hAnsi="Arial" w:cs="Arial"/>
                <w:b/>
                <w:bCs/>
              </w:rPr>
              <w:t>,-</w:t>
            </w:r>
            <w:r w:rsidRPr="002B0FE2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ECD82" w14:textId="0B138C86" w:rsidR="006F7BE1" w:rsidRPr="002B0FE2" w:rsidRDefault="00992D62" w:rsidP="0056159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524F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640228">
              <w:rPr>
                <w:rFonts w:ascii="Arial" w:hAnsi="Arial" w:cs="Arial"/>
                <w:b/>
                <w:bCs/>
              </w:rPr>
              <w:t>112,-</w:t>
            </w: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6F7BE1" w14:paraId="701127A3" w14:textId="77777777" w:rsidTr="00CB5F5B">
        <w:tc>
          <w:tcPr>
            <w:tcW w:w="6091" w:type="dxa"/>
            <w:tcBorders>
              <w:top w:val="double" w:sz="4" w:space="0" w:color="auto"/>
            </w:tcBorders>
          </w:tcPr>
          <w:p w14:paraId="261F818F" w14:textId="77777777" w:rsidR="006F7BE1" w:rsidRDefault="006F7BE1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21BA143B" w14:textId="77777777" w:rsidR="006F7BE1" w:rsidRDefault="006F7BE1" w:rsidP="005615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7AA6E7A2" w14:textId="77777777" w:rsidR="006F7BE1" w:rsidRDefault="006F7BE1" w:rsidP="0056159A">
            <w:pPr>
              <w:jc w:val="right"/>
              <w:rPr>
                <w:rFonts w:ascii="Arial" w:hAnsi="Arial" w:cs="Arial"/>
              </w:rPr>
            </w:pPr>
          </w:p>
        </w:tc>
      </w:tr>
      <w:tr w:rsidR="006F7BE1" w14:paraId="76542B77" w14:textId="77777777" w:rsidTr="000C67E2">
        <w:tc>
          <w:tcPr>
            <w:tcW w:w="6091" w:type="dxa"/>
          </w:tcPr>
          <w:p w14:paraId="5DE631D8" w14:textId="62CEE6D2" w:rsidR="006F7BE1" w:rsidRPr="002B0FE2" w:rsidRDefault="0080454D" w:rsidP="00C401AD">
            <w:pPr>
              <w:rPr>
                <w:rFonts w:ascii="Arial" w:hAnsi="Arial" w:cs="Arial"/>
                <w:b/>
                <w:bCs/>
              </w:rPr>
            </w:pPr>
            <w:r w:rsidRPr="002B0FE2">
              <w:rPr>
                <w:rFonts w:ascii="Arial" w:hAnsi="Arial" w:cs="Arial"/>
                <w:b/>
                <w:bCs/>
              </w:rPr>
              <w:t>Abzüglich Zusch</w:t>
            </w:r>
            <w:r w:rsidR="003E1451" w:rsidRPr="002B0FE2">
              <w:rPr>
                <w:rFonts w:ascii="Arial" w:hAnsi="Arial" w:cs="Arial"/>
                <w:b/>
                <w:bCs/>
              </w:rPr>
              <w:t>üsse</w:t>
            </w:r>
            <w:r w:rsidR="003E1451" w:rsidRPr="002B0FE2">
              <w:rPr>
                <w:rStyle w:val="Funotenzeichen"/>
                <w:rFonts w:ascii="Arial" w:hAnsi="Arial" w:cs="Arial"/>
                <w:b/>
                <w:bCs/>
              </w:rPr>
              <w:footnoteReference w:id="4"/>
            </w:r>
          </w:p>
        </w:tc>
        <w:tc>
          <w:tcPr>
            <w:tcW w:w="1630" w:type="dxa"/>
          </w:tcPr>
          <w:p w14:paraId="63130A67" w14:textId="77777777" w:rsidR="006F7BE1" w:rsidRDefault="006F7BE1" w:rsidP="005615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C82F093" w14:textId="77777777" w:rsidR="006F7BE1" w:rsidRDefault="006F7BE1" w:rsidP="0056159A">
            <w:pPr>
              <w:jc w:val="right"/>
              <w:rPr>
                <w:rFonts w:ascii="Arial" w:hAnsi="Arial" w:cs="Arial"/>
              </w:rPr>
            </w:pPr>
          </w:p>
        </w:tc>
      </w:tr>
      <w:tr w:rsidR="006F7BE1" w14:paraId="0EB9D10C" w14:textId="77777777" w:rsidTr="000C67E2">
        <w:tc>
          <w:tcPr>
            <w:tcW w:w="6091" w:type="dxa"/>
          </w:tcPr>
          <w:p w14:paraId="58FB0A6A" w14:textId="3AB53FCA" w:rsidR="006F7BE1" w:rsidRDefault="003E1451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BAFzA</w:t>
            </w:r>
            <w:r w:rsidR="001000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0" w:type="dxa"/>
          </w:tcPr>
          <w:p w14:paraId="31CB6F48" w14:textId="04CC056B" w:rsidR="006F7BE1" w:rsidRDefault="009A66B5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228">
              <w:rPr>
                <w:rFonts w:ascii="Arial" w:hAnsi="Arial" w:cs="Arial"/>
              </w:rPr>
              <w:t>45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6478F0C6" w14:textId="1B6700FB" w:rsidR="006F7BE1" w:rsidRDefault="00992D62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40228">
              <w:rPr>
                <w:rFonts w:ascii="Arial" w:hAnsi="Arial" w:cs="Arial"/>
              </w:rPr>
              <w:t>740</w:t>
            </w:r>
            <w:r>
              <w:rPr>
                <w:rFonts w:ascii="Arial" w:hAnsi="Arial" w:cs="Arial"/>
              </w:rPr>
              <w:t>,-</w:t>
            </w:r>
            <w:r w:rsidR="004D1F46">
              <w:rPr>
                <w:rFonts w:ascii="Arial" w:hAnsi="Arial" w:cs="Arial"/>
              </w:rPr>
              <w:t>€</w:t>
            </w:r>
          </w:p>
        </w:tc>
      </w:tr>
      <w:tr w:rsidR="002E48D7" w14:paraId="02B1BACF" w14:textId="77777777" w:rsidTr="000C67E2">
        <w:tc>
          <w:tcPr>
            <w:tcW w:w="6091" w:type="dxa"/>
          </w:tcPr>
          <w:p w14:paraId="6E6FFC8E" w14:textId="4D55D211" w:rsidR="002E48D7" w:rsidRDefault="002E48D7" w:rsidP="00C40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Zentrum Bayern</w:t>
            </w:r>
          </w:p>
        </w:tc>
        <w:tc>
          <w:tcPr>
            <w:tcW w:w="1630" w:type="dxa"/>
          </w:tcPr>
          <w:p w14:paraId="5938D390" w14:textId="79B62385" w:rsidR="002E48D7" w:rsidRDefault="009A66B5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74191E71" w14:textId="084DFB71" w:rsidR="002E48D7" w:rsidRDefault="004D1F46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336,-€</w:t>
            </w:r>
          </w:p>
        </w:tc>
      </w:tr>
      <w:tr w:rsidR="006F7BE1" w14:paraId="3C54F0D6" w14:textId="77777777" w:rsidTr="000C67E2">
        <w:tc>
          <w:tcPr>
            <w:tcW w:w="6091" w:type="dxa"/>
          </w:tcPr>
          <w:p w14:paraId="18DAFC39" w14:textId="21FC9FF0" w:rsidR="006F7BE1" w:rsidRPr="002B0FE2" w:rsidRDefault="00BA60DF" w:rsidP="00C401AD">
            <w:pPr>
              <w:rPr>
                <w:rFonts w:ascii="Arial" w:hAnsi="Arial" w:cs="Arial"/>
                <w:b/>
                <w:bCs/>
              </w:rPr>
            </w:pPr>
            <w:r w:rsidRPr="002B0FE2">
              <w:rPr>
                <w:rFonts w:ascii="Arial" w:hAnsi="Arial" w:cs="Arial"/>
                <w:b/>
                <w:bCs/>
              </w:rPr>
              <w:t>Abzüglich Eigenmittel</w:t>
            </w:r>
            <w:r w:rsidRPr="002B0FE2">
              <w:rPr>
                <w:rStyle w:val="Funotenzeichen"/>
                <w:rFonts w:ascii="Arial" w:hAnsi="Arial" w:cs="Arial"/>
                <w:b/>
                <w:bCs/>
              </w:rPr>
              <w:footnoteReference w:id="5"/>
            </w:r>
            <w:r w:rsidR="00B34DB1" w:rsidRPr="002B0FE2">
              <w:rPr>
                <w:rFonts w:ascii="Arial" w:hAnsi="Arial" w:cs="Arial"/>
                <w:b/>
                <w:bCs/>
              </w:rPr>
              <w:t xml:space="preserve"> </w:t>
            </w:r>
            <w:r w:rsidR="00B34DB1" w:rsidRPr="002B0FE2">
              <w:rPr>
                <w:rFonts w:ascii="Arial" w:hAnsi="Arial" w:cs="Arial"/>
              </w:rPr>
              <w:t>(Landkreis Miesbach)</w:t>
            </w:r>
          </w:p>
        </w:tc>
        <w:tc>
          <w:tcPr>
            <w:tcW w:w="1630" w:type="dxa"/>
          </w:tcPr>
          <w:p w14:paraId="240AC34B" w14:textId="7A726892" w:rsidR="006F7BE1" w:rsidRDefault="009A66B5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  <w:r w:rsidR="00A9453C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0" w:type="dxa"/>
          </w:tcPr>
          <w:p w14:paraId="4BF2CAA5" w14:textId="264C3737" w:rsidR="006F7BE1" w:rsidRDefault="004D1F46" w:rsidP="00561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1.596</w:t>
            </w:r>
            <w:r w:rsidR="00467528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626A12" w14:paraId="7CF14A6F" w14:textId="77777777" w:rsidTr="00CB5F5B">
        <w:tc>
          <w:tcPr>
            <w:tcW w:w="6091" w:type="dxa"/>
            <w:tcBorders>
              <w:bottom w:val="double" w:sz="4" w:space="0" w:color="auto"/>
            </w:tcBorders>
          </w:tcPr>
          <w:p w14:paraId="57B610CB" w14:textId="77777777" w:rsidR="00626A12" w:rsidRDefault="00626A12" w:rsidP="00C401A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14:paraId="7EAF2F22" w14:textId="77777777" w:rsidR="00626A12" w:rsidRDefault="00626A12" w:rsidP="005615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14:paraId="21B02111" w14:textId="77777777" w:rsidR="00626A12" w:rsidRDefault="00626A12" w:rsidP="0056159A">
            <w:pPr>
              <w:jc w:val="right"/>
              <w:rPr>
                <w:rFonts w:ascii="Arial" w:hAnsi="Arial" w:cs="Arial"/>
              </w:rPr>
            </w:pPr>
          </w:p>
        </w:tc>
      </w:tr>
      <w:tr w:rsidR="002E48D7" w:rsidRPr="009E353D" w14:paraId="77EB2F19" w14:textId="77777777" w:rsidTr="005C7EE8"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0C7414" w14:textId="7C7F195B" w:rsidR="002E48D7" w:rsidRPr="009E353D" w:rsidRDefault="004C72AD" w:rsidP="00C401AD">
            <w:pPr>
              <w:rPr>
                <w:rFonts w:ascii="Arial" w:hAnsi="Arial" w:cs="Arial"/>
                <w:b/>
                <w:bCs/>
              </w:rPr>
            </w:pPr>
            <w:r w:rsidRPr="009E353D">
              <w:rPr>
                <w:rFonts w:ascii="Arial" w:hAnsi="Arial" w:cs="Arial"/>
                <w:b/>
                <w:bCs/>
              </w:rPr>
              <w:t>Gesamtkosten von der Einsatzstelle zu tragen: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CDF9A8" w14:textId="54D7F74F" w:rsidR="002E48D7" w:rsidRPr="009E353D" w:rsidRDefault="009A66B5" w:rsidP="0056159A">
            <w:pPr>
              <w:jc w:val="right"/>
              <w:rPr>
                <w:rFonts w:ascii="Arial" w:hAnsi="Arial" w:cs="Arial"/>
                <w:b/>
                <w:bCs/>
              </w:rPr>
            </w:pPr>
            <w:r w:rsidRPr="009E353D">
              <w:rPr>
                <w:rFonts w:ascii="Arial" w:hAnsi="Arial" w:cs="Arial"/>
                <w:b/>
                <w:bCs/>
              </w:rPr>
              <w:t>870</w:t>
            </w:r>
            <w:r w:rsidR="00A9453C">
              <w:rPr>
                <w:rFonts w:ascii="Arial" w:hAnsi="Arial" w:cs="Arial"/>
                <w:b/>
                <w:bCs/>
              </w:rPr>
              <w:t>,-</w:t>
            </w:r>
            <w:r w:rsidRPr="009E353D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EF8C6D" w14:textId="4D3E3495" w:rsidR="002E48D7" w:rsidRPr="009E353D" w:rsidRDefault="004D1F46" w:rsidP="0056159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10.440</w:t>
            </w:r>
            <w:r w:rsidR="00AA4AFF">
              <w:rPr>
                <w:rFonts w:ascii="Arial" w:hAnsi="Arial" w:cs="Arial"/>
                <w:b/>
                <w:bCs/>
              </w:rPr>
              <w:t>,-€</w:t>
            </w:r>
          </w:p>
        </w:tc>
      </w:tr>
    </w:tbl>
    <w:p w14:paraId="05E7E80C" w14:textId="77777777" w:rsidR="003B5AF1" w:rsidRDefault="003B5AF1" w:rsidP="003E221F">
      <w:pPr>
        <w:spacing w:after="0"/>
        <w:rPr>
          <w:rFonts w:ascii="Arial" w:hAnsi="Arial" w:cs="Arial"/>
        </w:rPr>
      </w:pPr>
    </w:p>
    <w:p w14:paraId="43229856" w14:textId="0A317604" w:rsidR="003E221F" w:rsidRDefault="000E2083" w:rsidP="003E22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Einsatzstelle ist zahlungspflichtig, die Auszahlung der Taschengelder </w:t>
      </w:r>
      <w:r w:rsidR="00DA1B52">
        <w:rPr>
          <w:rFonts w:ascii="Arial" w:hAnsi="Arial" w:cs="Arial"/>
        </w:rPr>
        <w:t>erfolgt</w:t>
      </w:r>
      <w:r>
        <w:rPr>
          <w:rFonts w:ascii="Arial" w:hAnsi="Arial" w:cs="Arial"/>
        </w:rPr>
        <w:t xml:space="preserve"> durch den </w:t>
      </w:r>
      <w:r w:rsidR="00AA02CB">
        <w:rPr>
          <w:rFonts w:ascii="Arial" w:hAnsi="Arial" w:cs="Arial"/>
        </w:rPr>
        <w:t xml:space="preserve">Träger, da die Personalverantwortung beim Träger liegt. Die Kosten </w:t>
      </w:r>
      <w:r w:rsidR="00AD51B1">
        <w:rPr>
          <w:rFonts w:ascii="Arial" w:hAnsi="Arial" w:cs="Arial"/>
        </w:rPr>
        <w:t>sind zu entrichten auf das Konto des Kreisjugendringe Miesbach bei der Kreissparkasse Miesbach-Tegernsee</w:t>
      </w:r>
      <w:r w:rsidR="0020336F">
        <w:rPr>
          <w:rFonts w:ascii="Arial" w:hAnsi="Arial" w:cs="Arial"/>
        </w:rPr>
        <w:t xml:space="preserve"> BIC: BYLADEM1MIB mit der IBAN: DE </w:t>
      </w:r>
      <w:r w:rsidR="00C8741A">
        <w:rPr>
          <w:rFonts w:ascii="Arial" w:hAnsi="Arial" w:cs="Arial"/>
        </w:rPr>
        <w:t>12 7115 2570 0430 3804 28 unter Ang</w:t>
      </w:r>
      <w:r w:rsidR="00820FE8">
        <w:rPr>
          <w:rFonts w:ascii="Arial" w:hAnsi="Arial" w:cs="Arial"/>
        </w:rPr>
        <w:t>a</w:t>
      </w:r>
      <w:r w:rsidR="00C8741A">
        <w:rPr>
          <w:rFonts w:ascii="Arial" w:hAnsi="Arial" w:cs="Arial"/>
        </w:rPr>
        <w:t xml:space="preserve">be </w:t>
      </w:r>
      <w:r w:rsidR="00463913">
        <w:rPr>
          <w:rFonts w:ascii="Arial" w:hAnsi="Arial" w:cs="Arial"/>
        </w:rPr>
        <w:t>des Namen</w:t>
      </w:r>
      <w:r w:rsidR="00DA2CEB">
        <w:rPr>
          <w:rFonts w:ascii="Arial" w:hAnsi="Arial" w:cs="Arial"/>
        </w:rPr>
        <w:t xml:space="preserve"> des:der Frewillige:n und dem jeweiligen Monat für den die Zahlung ist</w:t>
      </w:r>
      <w:r w:rsidR="00270DEE">
        <w:rPr>
          <w:rFonts w:ascii="Arial" w:hAnsi="Arial" w:cs="Arial"/>
        </w:rPr>
        <w:t>.</w:t>
      </w:r>
    </w:p>
    <w:p w14:paraId="597076D1" w14:textId="77777777" w:rsidR="00270DEE" w:rsidRDefault="00270DEE" w:rsidP="003E221F">
      <w:pPr>
        <w:spacing w:after="0"/>
        <w:rPr>
          <w:rFonts w:ascii="Arial" w:hAnsi="Arial" w:cs="Arial"/>
        </w:rPr>
      </w:pPr>
    </w:p>
    <w:p w14:paraId="5336338C" w14:textId="1DAFAC93" w:rsidR="00270DEE" w:rsidRDefault="00360E6C" w:rsidP="003E22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vorläufige </w:t>
      </w:r>
      <w:r w:rsidR="00187F89">
        <w:rPr>
          <w:rFonts w:ascii="Arial" w:hAnsi="Arial" w:cs="Arial"/>
        </w:rPr>
        <w:t>monatliche Rate in Höhe von 8</w:t>
      </w:r>
      <w:r w:rsidR="00247B83">
        <w:rPr>
          <w:rFonts w:ascii="Arial" w:hAnsi="Arial" w:cs="Arial"/>
        </w:rPr>
        <w:t>7</w:t>
      </w:r>
      <w:r w:rsidR="00187F89">
        <w:rPr>
          <w:rFonts w:ascii="Arial" w:hAnsi="Arial" w:cs="Arial"/>
        </w:rPr>
        <w:t>0</w:t>
      </w:r>
      <w:r w:rsidR="00B154B1">
        <w:rPr>
          <w:rFonts w:ascii="Arial" w:hAnsi="Arial" w:cs="Arial"/>
        </w:rPr>
        <w:t>,-</w:t>
      </w:r>
      <w:r w:rsidR="00187F89">
        <w:rPr>
          <w:rFonts w:ascii="Arial" w:hAnsi="Arial" w:cs="Arial"/>
        </w:rPr>
        <w:t>€ ist von der Einsatzstelle bzw. deren Kostenträger an den Tr</w:t>
      </w:r>
      <w:r w:rsidR="00145110">
        <w:rPr>
          <w:rFonts w:ascii="Arial" w:hAnsi="Arial" w:cs="Arial"/>
        </w:rPr>
        <w:t>ä</w:t>
      </w:r>
      <w:r w:rsidR="00187F89">
        <w:rPr>
          <w:rFonts w:ascii="Arial" w:hAnsi="Arial" w:cs="Arial"/>
        </w:rPr>
        <w:t xml:space="preserve">ger Kreisjugendring Miesbach zu erstatten. </w:t>
      </w:r>
      <w:r w:rsidR="008910DA">
        <w:rPr>
          <w:rFonts w:ascii="Arial" w:hAnsi="Arial" w:cs="Arial"/>
        </w:rPr>
        <w:t xml:space="preserve">Kostenerhöhungen treten insbesondere dann ein, wenn die </w:t>
      </w:r>
      <w:r w:rsidR="0099797E">
        <w:rPr>
          <w:rFonts w:ascii="Arial" w:hAnsi="Arial" w:cs="Arial"/>
        </w:rPr>
        <w:t>Zahl</w:t>
      </w:r>
      <w:r w:rsidR="008910DA">
        <w:rPr>
          <w:rFonts w:ascii="Arial" w:hAnsi="Arial" w:cs="Arial"/>
        </w:rPr>
        <w:t xml:space="preserve"> der </w:t>
      </w:r>
      <w:r w:rsidR="001927C8">
        <w:rPr>
          <w:rFonts w:ascii="Arial" w:hAnsi="Arial" w:cs="Arial"/>
        </w:rPr>
        <w:t>von der zentralen Stelle betreuten Freiwilligen sich wesentlich vermindert und außertarifliche Personalkostenerhöhungen erfolgen</w:t>
      </w:r>
      <w:r w:rsidR="003B018A">
        <w:rPr>
          <w:rFonts w:ascii="Arial" w:hAnsi="Arial" w:cs="Arial"/>
        </w:rPr>
        <w:t xml:space="preserve">. Die Mehrkoste/Nachforderungen werden </w:t>
      </w:r>
      <w:r w:rsidR="00145110">
        <w:rPr>
          <w:rFonts w:ascii="Arial" w:hAnsi="Arial" w:cs="Arial"/>
        </w:rPr>
        <w:t>jedoch auf</w:t>
      </w:r>
      <w:r w:rsidR="00A46618">
        <w:rPr>
          <w:rFonts w:ascii="Arial" w:hAnsi="Arial" w:cs="Arial"/>
        </w:rPr>
        <w:t xml:space="preserve"> höchstens 20</w:t>
      </w:r>
      <w:r w:rsidR="00B154B1">
        <w:rPr>
          <w:rFonts w:ascii="Arial" w:hAnsi="Arial" w:cs="Arial"/>
        </w:rPr>
        <w:t>,-</w:t>
      </w:r>
      <w:r w:rsidR="00A46618">
        <w:rPr>
          <w:rFonts w:ascii="Arial" w:hAnsi="Arial" w:cs="Arial"/>
        </w:rPr>
        <w:t>€ je Seminartag begrenzt. Darüber hinausgehende Kostensteigerungen werden ggf. vom Träger übernommen</w:t>
      </w:r>
      <w:r w:rsidR="00416185">
        <w:rPr>
          <w:rFonts w:ascii="Arial" w:hAnsi="Arial" w:cs="Arial"/>
        </w:rPr>
        <w:t>.</w:t>
      </w:r>
    </w:p>
    <w:p w14:paraId="56825FB2" w14:textId="1643832D" w:rsidR="00416185" w:rsidRPr="00C70EF3" w:rsidRDefault="00416185" w:rsidP="003E221F">
      <w:pPr>
        <w:spacing w:after="0"/>
        <w:rPr>
          <w:rFonts w:ascii="Arial" w:hAnsi="Arial" w:cs="Arial"/>
        </w:rPr>
      </w:pPr>
      <w:r w:rsidRPr="00C70EF3">
        <w:rPr>
          <w:rFonts w:ascii="Arial" w:hAnsi="Arial" w:cs="Arial"/>
          <w:b/>
          <w:bCs/>
        </w:rPr>
        <w:t>Hinweis</w:t>
      </w:r>
      <w:r w:rsidR="00145110" w:rsidRPr="00C70EF3">
        <w:rPr>
          <w:rFonts w:ascii="Arial" w:hAnsi="Arial" w:cs="Arial"/>
          <w:b/>
          <w:bCs/>
        </w:rPr>
        <w:t>:</w:t>
      </w:r>
      <w:r w:rsidR="00145110" w:rsidRPr="00C70EF3">
        <w:rPr>
          <w:rFonts w:ascii="Arial" w:hAnsi="Arial" w:cs="Arial"/>
        </w:rPr>
        <w:t xml:space="preserve"> </w:t>
      </w:r>
      <w:r w:rsidR="00CD0C2A" w:rsidRPr="00C70EF3">
        <w:rPr>
          <w:rFonts w:ascii="Arial" w:hAnsi="Arial" w:cs="Arial"/>
        </w:rPr>
        <w:t>Für Freiwillige</w:t>
      </w:r>
      <w:r w:rsidR="0099797E">
        <w:rPr>
          <w:rFonts w:ascii="Arial" w:hAnsi="Arial" w:cs="Arial"/>
        </w:rPr>
        <w:t>,</w:t>
      </w:r>
      <w:r w:rsidR="00CD0C2A" w:rsidRPr="00C70EF3">
        <w:rPr>
          <w:rFonts w:ascii="Arial" w:hAnsi="Arial" w:cs="Arial"/>
        </w:rPr>
        <w:t xml:space="preserve"> die unmittelbar vor dem FSJ bereits eine Berufstätigkeit ausübten</w:t>
      </w:r>
      <w:r w:rsidR="00EC3719" w:rsidRPr="00C70EF3">
        <w:rPr>
          <w:rFonts w:ascii="Arial" w:hAnsi="Arial" w:cs="Arial"/>
        </w:rPr>
        <w:t>, fallen höhere Beiträge zur Arbeitslosenversicherung an (ca.160€/Monat). Dieser Betrag ist dann ebenfalls von den Einsatzstellen zu erstatten</w:t>
      </w:r>
    </w:p>
    <w:sectPr w:rsidR="00416185" w:rsidRPr="00C70EF3" w:rsidSect="006C1588">
      <w:footerReference w:type="default" r:id="rId10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A8AD" w14:textId="77777777" w:rsidR="0023010D" w:rsidRDefault="0023010D" w:rsidP="001F54BA">
      <w:pPr>
        <w:spacing w:after="0" w:line="240" w:lineRule="auto"/>
      </w:pPr>
      <w:r>
        <w:separator/>
      </w:r>
    </w:p>
  </w:endnote>
  <w:endnote w:type="continuationSeparator" w:id="0">
    <w:p w14:paraId="772DB182" w14:textId="77777777" w:rsidR="0023010D" w:rsidRDefault="0023010D" w:rsidP="001F54BA">
      <w:pPr>
        <w:spacing w:after="0" w:line="240" w:lineRule="auto"/>
      </w:pPr>
      <w:r>
        <w:continuationSeparator/>
      </w:r>
    </w:p>
  </w:endnote>
  <w:endnote w:type="continuationNotice" w:id="1">
    <w:p w14:paraId="2488436B" w14:textId="77777777" w:rsidR="0023010D" w:rsidRDefault="002301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2923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E9DA3F" w14:textId="269DC701" w:rsidR="005A562D" w:rsidRDefault="005A562D" w:rsidP="005A562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35EB" w14:textId="77777777" w:rsidR="0023010D" w:rsidRDefault="0023010D" w:rsidP="001F54BA">
      <w:pPr>
        <w:spacing w:after="0" w:line="240" w:lineRule="auto"/>
      </w:pPr>
      <w:r>
        <w:separator/>
      </w:r>
    </w:p>
  </w:footnote>
  <w:footnote w:type="continuationSeparator" w:id="0">
    <w:p w14:paraId="0CE0EC50" w14:textId="77777777" w:rsidR="0023010D" w:rsidRDefault="0023010D" w:rsidP="001F54BA">
      <w:pPr>
        <w:spacing w:after="0" w:line="240" w:lineRule="auto"/>
      </w:pPr>
      <w:r>
        <w:continuationSeparator/>
      </w:r>
    </w:p>
  </w:footnote>
  <w:footnote w:type="continuationNotice" w:id="1">
    <w:p w14:paraId="5BF7BCD6" w14:textId="77777777" w:rsidR="0023010D" w:rsidRDefault="0023010D">
      <w:pPr>
        <w:spacing w:after="0" w:line="240" w:lineRule="auto"/>
      </w:pPr>
    </w:p>
  </w:footnote>
  <w:footnote w:id="2">
    <w:p w14:paraId="6ADCC9F1" w14:textId="5BC690EB" w:rsidR="001F54BA" w:rsidRPr="00DE170D" w:rsidRDefault="001F54BA">
      <w:pPr>
        <w:pStyle w:val="Funotentext"/>
        <w:rPr>
          <w:rFonts w:ascii="Arial" w:hAnsi="Arial" w:cs="Arial"/>
          <w:b/>
          <w:bCs/>
        </w:rPr>
      </w:pPr>
      <w:r w:rsidRPr="00DE170D">
        <w:rPr>
          <w:rStyle w:val="Funotenzeichen"/>
          <w:rFonts w:ascii="Arial" w:hAnsi="Arial" w:cs="Arial"/>
        </w:rPr>
        <w:footnoteRef/>
      </w:r>
      <w:r w:rsidRPr="00DE170D">
        <w:rPr>
          <w:rFonts w:ascii="Arial" w:hAnsi="Arial" w:cs="Arial"/>
        </w:rPr>
        <w:t xml:space="preserve"> </w:t>
      </w:r>
      <w:r w:rsidR="00506E49" w:rsidRPr="00DE170D">
        <w:rPr>
          <w:rFonts w:ascii="Arial" w:hAnsi="Arial" w:cs="Arial"/>
        </w:rPr>
        <w:t xml:space="preserve">Die Höhe des Taschengeldes darf nicht mehr als 6% der in der </w:t>
      </w:r>
      <w:r w:rsidR="00596BDF" w:rsidRPr="00DE170D">
        <w:rPr>
          <w:rFonts w:ascii="Arial" w:hAnsi="Arial" w:cs="Arial"/>
        </w:rPr>
        <w:t>Rentenversicherung</w:t>
      </w:r>
      <w:r w:rsidR="00506E49" w:rsidRPr="00DE170D">
        <w:rPr>
          <w:rFonts w:ascii="Arial" w:hAnsi="Arial" w:cs="Arial"/>
        </w:rPr>
        <w:t xml:space="preserve"> der </w:t>
      </w:r>
      <w:r w:rsidR="00596BDF" w:rsidRPr="00DE170D">
        <w:rPr>
          <w:rFonts w:ascii="Arial" w:hAnsi="Arial" w:cs="Arial"/>
        </w:rPr>
        <w:t>Arbeitgeber</w:t>
      </w:r>
      <w:r w:rsidR="00506E49" w:rsidRPr="00DE170D">
        <w:rPr>
          <w:rFonts w:ascii="Arial" w:hAnsi="Arial" w:cs="Arial"/>
        </w:rPr>
        <w:t xml:space="preserve"> und Angestellten geltenden Beitragsbemessungsgrenze betragen. Dies sind 2023 monatlich</w:t>
      </w:r>
      <w:r w:rsidR="00982A85" w:rsidRPr="00DE170D">
        <w:rPr>
          <w:rFonts w:ascii="Arial" w:hAnsi="Arial" w:cs="Arial"/>
        </w:rPr>
        <w:t xml:space="preserve"> </w:t>
      </w:r>
      <w:r w:rsidR="00982A85" w:rsidRPr="00DE170D">
        <w:rPr>
          <w:rFonts w:ascii="Arial" w:hAnsi="Arial" w:cs="Arial"/>
          <w:b/>
          <w:bCs/>
        </w:rPr>
        <w:t>438€</w:t>
      </w:r>
    </w:p>
  </w:footnote>
  <w:footnote w:id="3">
    <w:p w14:paraId="6D5CA3E9" w14:textId="42D7394E" w:rsidR="00626A12" w:rsidRPr="00DE170D" w:rsidRDefault="00626A12">
      <w:pPr>
        <w:pStyle w:val="Funotentext"/>
        <w:rPr>
          <w:rFonts w:ascii="Arial" w:hAnsi="Arial" w:cs="Arial"/>
        </w:rPr>
      </w:pPr>
      <w:r w:rsidRPr="00DE170D">
        <w:rPr>
          <w:rStyle w:val="Funotenzeichen"/>
          <w:rFonts w:ascii="Arial" w:hAnsi="Arial" w:cs="Arial"/>
        </w:rPr>
        <w:footnoteRef/>
      </w:r>
      <w:r w:rsidRPr="00DE170D">
        <w:rPr>
          <w:rFonts w:ascii="Arial" w:hAnsi="Arial" w:cs="Arial"/>
        </w:rPr>
        <w:t xml:space="preserve"> </w:t>
      </w:r>
      <w:r w:rsidR="00A23418" w:rsidRPr="00DE170D">
        <w:rPr>
          <w:rFonts w:ascii="Arial" w:hAnsi="Arial" w:cs="Arial"/>
        </w:rPr>
        <w:t>Die gesetzlichen Sozialversicherungsbeiträge</w:t>
      </w:r>
      <w:r w:rsidR="001D14D7" w:rsidRPr="00DE170D">
        <w:rPr>
          <w:rFonts w:ascii="Arial" w:hAnsi="Arial" w:cs="Arial"/>
        </w:rPr>
        <w:t xml:space="preserve"> errechnen sich aus dem gewährten </w:t>
      </w:r>
      <w:r w:rsidR="00596BDF" w:rsidRPr="00DE170D">
        <w:rPr>
          <w:rFonts w:ascii="Arial" w:hAnsi="Arial" w:cs="Arial"/>
        </w:rPr>
        <w:t>Taschengeld</w:t>
      </w:r>
      <w:r w:rsidR="001D14D7" w:rsidRPr="00DE170D">
        <w:rPr>
          <w:rFonts w:ascii="Arial" w:hAnsi="Arial" w:cs="Arial"/>
        </w:rPr>
        <w:t xml:space="preserve"> und sonstigen gewährten Leistungen bzw. aus entsprechenden Geldersatzleistungen</w:t>
      </w:r>
    </w:p>
  </w:footnote>
  <w:footnote w:id="4">
    <w:p w14:paraId="3679FEC6" w14:textId="73270327" w:rsidR="003E1451" w:rsidRPr="00DE170D" w:rsidRDefault="003E1451">
      <w:pPr>
        <w:pStyle w:val="Funotentext"/>
        <w:rPr>
          <w:rFonts w:ascii="Arial" w:hAnsi="Arial" w:cs="Arial"/>
        </w:rPr>
      </w:pPr>
      <w:r w:rsidRPr="00DE170D">
        <w:rPr>
          <w:rStyle w:val="Funotenzeichen"/>
          <w:rFonts w:ascii="Arial" w:hAnsi="Arial" w:cs="Arial"/>
        </w:rPr>
        <w:footnoteRef/>
      </w:r>
      <w:r w:rsidRPr="00DE170D">
        <w:rPr>
          <w:rFonts w:ascii="Arial" w:hAnsi="Arial" w:cs="Arial"/>
        </w:rPr>
        <w:t xml:space="preserve"> </w:t>
      </w:r>
      <w:r w:rsidR="001D14D7" w:rsidRPr="00DE170D">
        <w:rPr>
          <w:rFonts w:ascii="Arial" w:hAnsi="Arial" w:cs="Arial"/>
        </w:rPr>
        <w:t>Unter der Voraussetzung, dass die Zuschüsse gewährt werden</w:t>
      </w:r>
    </w:p>
  </w:footnote>
  <w:footnote w:id="5">
    <w:p w14:paraId="36BB187D" w14:textId="04A22E1D" w:rsidR="00BA60DF" w:rsidRPr="00506E49" w:rsidRDefault="00BA60DF">
      <w:pPr>
        <w:pStyle w:val="Funotentext"/>
        <w:rPr>
          <w:rFonts w:ascii="Arial" w:hAnsi="Arial" w:cs="Arial"/>
        </w:rPr>
      </w:pPr>
      <w:r w:rsidRPr="00DE170D">
        <w:rPr>
          <w:rStyle w:val="Funotenzeichen"/>
          <w:rFonts w:ascii="Arial" w:hAnsi="Arial" w:cs="Arial"/>
        </w:rPr>
        <w:footnoteRef/>
      </w:r>
      <w:r w:rsidRPr="00DE170D">
        <w:rPr>
          <w:rFonts w:ascii="Arial" w:hAnsi="Arial" w:cs="Arial"/>
        </w:rPr>
        <w:t xml:space="preserve"> </w:t>
      </w:r>
      <w:r w:rsidR="001D14D7" w:rsidRPr="00DE170D">
        <w:rPr>
          <w:rFonts w:ascii="Arial" w:hAnsi="Arial" w:cs="Arial"/>
        </w:rPr>
        <w:t xml:space="preserve">Unter der Voraussetzung, dass die Einsatzstelle im Landkreis Miesbach liegt </w:t>
      </w:r>
      <w:r w:rsidR="00741013">
        <w:rPr>
          <w:rFonts w:ascii="Arial" w:hAnsi="Arial" w:cs="Arial"/>
        </w:rPr>
        <w:t>oder noch</w:t>
      </w:r>
      <w:r w:rsidR="001D14D7" w:rsidRPr="00DE170D">
        <w:rPr>
          <w:rFonts w:ascii="Arial" w:hAnsi="Arial" w:cs="Arial"/>
        </w:rPr>
        <w:t xml:space="preserve"> Gelder </w:t>
      </w:r>
      <w:r w:rsidR="00741013">
        <w:rPr>
          <w:rFonts w:ascii="Arial" w:hAnsi="Arial" w:cs="Arial"/>
        </w:rPr>
        <w:t>zur Verfügung stehen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C38"/>
    <w:multiLevelType w:val="hybridMultilevel"/>
    <w:tmpl w:val="63B8EEA6"/>
    <w:lvl w:ilvl="0" w:tplc="AF2A73B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12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C3"/>
    <w:rsid w:val="00006FE8"/>
    <w:rsid w:val="0004204F"/>
    <w:rsid w:val="0005519F"/>
    <w:rsid w:val="00075820"/>
    <w:rsid w:val="000A1D97"/>
    <w:rsid w:val="000C67E2"/>
    <w:rsid w:val="000E2083"/>
    <w:rsid w:val="000F6BCC"/>
    <w:rsid w:val="0010003A"/>
    <w:rsid w:val="00145110"/>
    <w:rsid w:val="00163E75"/>
    <w:rsid w:val="00187F89"/>
    <w:rsid w:val="001927C8"/>
    <w:rsid w:val="001D14D7"/>
    <w:rsid w:val="001F54BA"/>
    <w:rsid w:val="0020336F"/>
    <w:rsid w:val="002270C2"/>
    <w:rsid w:val="0023010D"/>
    <w:rsid w:val="00247B83"/>
    <w:rsid w:val="0025766A"/>
    <w:rsid w:val="00270DEE"/>
    <w:rsid w:val="0028180B"/>
    <w:rsid w:val="00292BEB"/>
    <w:rsid w:val="002B0CC3"/>
    <w:rsid w:val="002B0FE2"/>
    <w:rsid w:val="002B20AA"/>
    <w:rsid w:val="002E48D7"/>
    <w:rsid w:val="00360E6C"/>
    <w:rsid w:val="003A17BD"/>
    <w:rsid w:val="003A5AC7"/>
    <w:rsid w:val="003B018A"/>
    <w:rsid w:val="003B5AF1"/>
    <w:rsid w:val="003C37F9"/>
    <w:rsid w:val="003E1451"/>
    <w:rsid w:val="003E221F"/>
    <w:rsid w:val="00416185"/>
    <w:rsid w:val="00435A58"/>
    <w:rsid w:val="00463913"/>
    <w:rsid w:val="00467528"/>
    <w:rsid w:val="00480313"/>
    <w:rsid w:val="004C72AD"/>
    <w:rsid w:val="004D1F46"/>
    <w:rsid w:val="00506E49"/>
    <w:rsid w:val="0051594F"/>
    <w:rsid w:val="0056159A"/>
    <w:rsid w:val="00596BDF"/>
    <w:rsid w:val="005A562D"/>
    <w:rsid w:val="005C7EE8"/>
    <w:rsid w:val="005F7195"/>
    <w:rsid w:val="00626A12"/>
    <w:rsid w:val="00640228"/>
    <w:rsid w:val="006722DD"/>
    <w:rsid w:val="006C1588"/>
    <w:rsid w:val="006F7BE1"/>
    <w:rsid w:val="00741013"/>
    <w:rsid w:val="00747A2F"/>
    <w:rsid w:val="007763D4"/>
    <w:rsid w:val="007764C7"/>
    <w:rsid w:val="007E0D37"/>
    <w:rsid w:val="007E60CD"/>
    <w:rsid w:val="007F62A5"/>
    <w:rsid w:val="0080454D"/>
    <w:rsid w:val="00820741"/>
    <w:rsid w:val="00820FE8"/>
    <w:rsid w:val="00832D0E"/>
    <w:rsid w:val="00870363"/>
    <w:rsid w:val="008900D9"/>
    <w:rsid w:val="008910DA"/>
    <w:rsid w:val="008959CB"/>
    <w:rsid w:val="00982A85"/>
    <w:rsid w:val="00992D62"/>
    <w:rsid w:val="0099797E"/>
    <w:rsid w:val="009A66B5"/>
    <w:rsid w:val="009E353D"/>
    <w:rsid w:val="00A17648"/>
    <w:rsid w:val="00A23418"/>
    <w:rsid w:val="00A27970"/>
    <w:rsid w:val="00A35AC4"/>
    <w:rsid w:val="00A46618"/>
    <w:rsid w:val="00A9453C"/>
    <w:rsid w:val="00AA02CB"/>
    <w:rsid w:val="00AA4AFF"/>
    <w:rsid w:val="00AD51B1"/>
    <w:rsid w:val="00B03E25"/>
    <w:rsid w:val="00B154B1"/>
    <w:rsid w:val="00B23331"/>
    <w:rsid w:val="00B34DB1"/>
    <w:rsid w:val="00BA60DF"/>
    <w:rsid w:val="00BD7B63"/>
    <w:rsid w:val="00BF5204"/>
    <w:rsid w:val="00C401AD"/>
    <w:rsid w:val="00C70EF3"/>
    <w:rsid w:val="00C8663B"/>
    <w:rsid w:val="00C8741A"/>
    <w:rsid w:val="00CB5F5B"/>
    <w:rsid w:val="00CD0C2A"/>
    <w:rsid w:val="00CD41A6"/>
    <w:rsid w:val="00CF1AA9"/>
    <w:rsid w:val="00D23936"/>
    <w:rsid w:val="00D23A50"/>
    <w:rsid w:val="00D77A84"/>
    <w:rsid w:val="00D855E4"/>
    <w:rsid w:val="00D86022"/>
    <w:rsid w:val="00D9088E"/>
    <w:rsid w:val="00DA1B52"/>
    <w:rsid w:val="00DA2CEB"/>
    <w:rsid w:val="00DA710B"/>
    <w:rsid w:val="00DE170D"/>
    <w:rsid w:val="00E019DD"/>
    <w:rsid w:val="00E159E1"/>
    <w:rsid w:val="00E524F5"/>
    <w:rsid w:val="00E743C6"/>
    <w:rsid w:val="00EB6D35"/>
    <w:rsid w:val="00EC3719"/>
    <w:rsid w:val="00ED539B"/>
    <w:rsid w:val="00EF30A2"/>
    <w:rsid w:val="00EF39C0"/>
    <w:rsid w:val="00F03049"/>
    <w:rsid w:val="00F63BE3"/>
    <w:rsid w:val="00FA70E4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D689"/>
  <w15:chartTrackingRefBased/>
  <w15:docId w15:val="{454E8593-DC04-40A1-BF6D-DE1ED9C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BE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F54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54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54B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0D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70D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70D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0D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0DE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62D"/>
  </w:style>
  <w:style w:type="paragraph" w:styleId="Fuzeile">
    <w:name w:val="footer"/>
    <w:basedOn w:val="Standard"/>
    <w:link w:val="FuzeileZchn"/>
    <w:uiPriority w:val="99"/>
    <w:unhideWhenUsed/>
    <w:rsid w:val="005A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30D4A8AF1B3A4BA491EC37D6630206" ma:contentTypeVersion="6" ma:contentTypeDescription="Ein neues Dokument erstellen." ma:contentTypeScope="" ma:versionID="af150b83adc1dfdd6893a138cc784b03">
  <xsd:schema xmlns:xsd="http://www.w3.org/2001/XMLSchema" xmlns:xs="http://www.w3.org/2001/XMLSchema" xmlns:p="http://schemas.microsoft.com/office/2006/metadata/properties" xmlns:ns2="5a9daabb-afa4-4661-922f-54652bdaef55" xmlns:ns3="ebe1f1dc-f3e5-41ff-8cfe-47ec15389e64" targetNamespace="http://schemas.microsoft.com/office/2006/metadata/properties" ma:root="true" ma:fieldsID="8edf4ce7e742ff5d31b94f0ff63e6cd3" ns2:_="" ns3:_="">
    <xsd:import namespace="5a9daabb-afa4-4661-922f-54652bdaef55"/>
    <xsd:import namespace="ebe1f1dc-f3e5-41ff-8cfe-47ec15389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daabb-afa4-4661-922f-54652bdae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1f1dc-f3e5-41ff-8cfe-47ec15389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6B2B6-BC71-44DE-8D8F-16232FBD4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BB534-2DEE-488E-91E7-6F99D9EF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daabb-afa4-4661-922f-54652bdaef55"/>
    <ds:schemaRef ds:uri="ebe1f1dc-f3e5-41ff-8cfe-47ec1538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FBF61-AA08-4D81-9BDC-5BB200E3D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Lenhof</dc:creator>
  <cp:keywords/>
  <dc:description/>
  <cp:lastModifiedBy>Isabell Lenhof</cp:lastModifiedBy>
  <cp:revision>111</cp:revision>
  <dcterms:created xsi:type="dcterms:W3CDTF">2023-07-18T20:27:00Z</dcterms:created>
  <dcterms:modified xsi:type="dcterms:W3CDTF">2023-07-27T19:08:00Z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0x0101000330D4A8AF1B3A4BA491EC37D6630206</vt:lpwstr>
  </property>
</Properties>
</file>